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5540" w14:textId="5DFF00EF" w:rsidR="00250849" w:rsidRPr="003C5E43" w:rsidRDefault="00250849" w:rsidP="003B4AB7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3C5E43">
        <w:rPr>
          <w:rFonts w:ascii="Helvetica" w:hAnsi="Helvetica" w:cs="Helvetica"/>
          <w:b/>
          <w:bCs/>
          <w:sz w:val="20"/>
          <w:szCs w:val="20"/>
        </w:rPr>
        <w:t>ANEXO</w:t>
      </w:r>
      <w:r w:rsidR="008B6F03" w:rsidRPr="003C5E43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9C5907" w:rsidRPr="003C5E43">
        <w:rPr>
          <w:rFonts w:ascii="Helvetica" w:hAnsi="Helvetica" w:cs="Helvetica"/>
          <w:b/>
          <w:bCs/>
          <w:sz w:val="20"/>
          <w:szCs w:val="20"/>
        </w:rPr>
        <w:t>1</w:t>
      </w:r>
      <w:r w:rsidR="002A5CA5" w:rsidRPr="003C5E43">
        <w:rPr>
          <w:rFonts w:ascii="Helvetica" w:hAnsi="Helvetica" w:cs="Helvetica"/>
          <w:b/>
          <w:bCs/>
          <w:sz w:val="20"/>
          <w:szCs w:val="20"/>
        </w:rPr>
        <w:t>1</w:t>
      </w:r>
    </w:p>
    <w:p w14:paraId="1AAC3726" w14:textId="78885F4F" w:rsidR="00250849" w:rsidRPr="003C5E43" w:rsidRDefault="005F42E5" w:rsidP="003B4AB7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3C5E43">
        <w:rPr>
          <w:rFonts w:ascii="Helvetica" w:hAnsi="Helvetica" w:cs="Helvetica"/>
          <w:b/>
          <w:bCs/>
          <w:sz w:val="20"/>
          <w:szCs w:val="20"/>
        </w:rPr>
        <w:t>“</w:t>
      </w:r>
      <w:r w:rsidR="00250849" w:rsidRPr="003C5E43">
        <w:rPr>
          <w:rFonts w:ascii="Helvetica" w:hAnsi="Helvetica" w:cs="Helvetica"/>
          <w:b/>
          <w:bCs/>
          <w:sz w:val="20"/>
          <w:szCs w:val="20"/>
        </w:rPr>
        <w:t>MÉTODO DE EVALUACIÓN DE LAS PROPUESTAS</w:t>
      </w:r>
      <w:r w:rsidRPr="003C5E43">
        <w:rPr>
          <w:rFonts w:ascii="Helvetica" w:hAnsi="Helvetica" w:cs="Helvetica"/>
          <w:b/>
          <w:bCs/>
          <w:sz w:val="20"/>
          <w:szCs w:val="20"/>
        </w:rPr>
        <w:t>”</w:t>
      </w:r>
    </w:p>
    <w:p w14:paraId="3636BA70" w14:textId="47DE7FBA" w:rsidR="00E45953" w:rsidRPr="003C5E43" w:rsidRDefault="001E27AA" w:rsidP="00CB717A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bookmarkStart w:id="0" w:name="_Hlk56277463"/>
      <w:r w:rsidRPr="003C5E43">
        <w:rPr>
          <w:rFonts w:ascii="Helvetica" w:hAnsi="Helvetica" w:cs="Helvetica"/>
          <w:sz w:val="20"/>
          <w:szCs w:val="20"/>
        </w:rPr>
        <w:t>En virtud de que los bienes y servicios a contratar por la Universidad son de altas especificaciones técnicas</w:t>
      </w:r>
      <w:r w:rsidR="002C3AB3" w:rsidRPr="003C5E43">
        <w:rPr>
          <w:rFonts w:ascii="Helvetica" w:hAnsi="Helvetica" w:cs="Helvetica"/>
          <w:sz w:val="20"/>
          <w:szCs w:val="20"/>
        </w:rPr>
        <w:t xml:space="preserve">, pues no se trata de bienes y servicios estandarizados donde el precio ofertado es el único factor determinante para elegir a la propuesta más conveniente para la Universidad, </w:t>
      </w:r>
      <w:r w:rsidR="00CB717A" w:rsidRPr="003C5E43">
        <w:rPr>
          <w:rFonts w:ascii="Helvetica" w:hAnsi="Helvetica" w:cs="Helvetica"/>
          <w:sz w:val="20"/>
          <w:szCs w:val="20"/>
        </w:rPr>
        <w:t>con fundamento en los artículos 33 párrafo</w:t>
      </w:r>
      <w:r w:rsidR="00475AE0" w:rsidRPr="003C5E43">
        <w:rPr>
          <w:rFonts w:ascii="Helvetica" w:hAnsi="Helvetica" w:cs="Helvetica"/>
          <w:sz w:val="20"/>
          <w:szCs w:val="20"/>
        </w:rPr>
        <w:t>s</w:t>
      </w:r>
      <w:r w:rsidR="00CB717A" w:rsidRPr="003C5E43">
        <w:rPr>
          <w:rFonts w:ascii="Helvetica" w:hAnsi="Helvetica" w:cs="Helvetica"/>
          <w:sz w:val="20"/>
          <w:szCs w:val="20"/>
        </w:rPr>
        <w:t xml:space="preserve"> tercero</w:t>
      </w:r>
      <w:r w:rsidR="00475AE0" w:rsidRPr="003C5E43">
        <w:rPr>
          <w:rFonts w:ascii="Helvetica" w:hAnsi="Helvetica" w:cs="Helvetica"/>
          <w:sz w:val="20"/>
          <w:szCs w:val="20"/>
        </w:rPr>
        <w:t>, cuarto y quinto</w:t>
      </w:r>
      <w:r w:rsidR="00CB717A" w:rsidRPr="003C5E43">
        <w:rPr>
          <w:rFonts w:ascii="Helvetica" w:hAnsi="Helvetica" w:cs="Helvetica"/>
          <w:sz w:val="20"/>
          <w:szCs w:val="20"/>
        </w:rPr>
        <w:t xml:space="preserve"> de la Ley de Adquisiciones, Arrendamientos y Servicios del Sector Público del Estado de Hidalgo y 59 de su Reglamento, la evaluación de las propuestas que presenten los licitantes para el actual procedimiento de contratación será el de PUNTOS, de conformidad con los rubros y </w:t>
      </w:r>
      <w:proofErr w:type="spellStart"/>
      <w:r w:rsidR="00CB717A" w:rsidRPr="003C5E43">
        <w:rPr>
          <w:rFonts w:ascii="Helvetica" w:hAnsi="Helvetica" w:cs="Helvetica"/>
          <w:sz w:val="20"/>
          <w:szCs w:val="20"/>
        </w:rPr>
        <w:t>sub</w:t>
      </w:r>
      <w:r w:rsidR="00D06419" w:rsidRPr="003C5E43">
        <w:rPr>
          <w:rFonts w:ascii="Helvetica" w:hAnsi="Helvetica" w:cs="Helvetica"/>
          <w:sz w:val="20"/>
          <w:szCs w:val="20"/>
        </w:rPr>
        <w:t>-</w:t>
      </w:r>
      <w:r w:rsidR="00CB717A" w:rsidRPr="003C5E43">
        <w:rPr>
          <w:rFonts w:ascii="Helvetica" w:hAnsi="Helvetica" w:cs="Helvetica"/>
          <w:sz w:val="20"/>
          <w:szCs w:val="20"/>
        </w:rPr>
        <w:t>rubos</w:t>
      </w:r>
      <w:proofErr w:type="spellEnd"/>
      <w:r w:rsidR="00CB717A" w:rsidRPr="003C5E43">
        <w:rPr>
          <w:rFonts w:ascii="Helvetica" w:hAnsi="Helvetica" w:cs="Helvetica"/>
          <w:sz w:val="20"/>
          <w:szCs w:val="20"/>
        </w:rPr>
        <w:t xml:space="preserve"> de la Matriz de Puntos y Porcentajes del </w:t>
      </w:r>
      <w:r w:rsidR="00CB717A" w:rsidRPr="003C5E43">
        <w:rPr>
          <w:rFonts w:ascii="Helvetica" w:hAnsi="Helvetica" w:cs="Helvetica"/>
          <w:b/>
          <w:bCs/>
          <w:sz w:val="20"/>
          <w:szCs w:val="20"/>
        </w:rPr>
        <w:t>Anexo 12 “Matriz de Evaluación por Puntos”</w:t>
      </w:r>
      <w:r w:rsidR="00CB717A" w:rsidRPr="003C5E43">
        <w:rPr>
          <w:rFonts w:ascii="Helvetica" w:hAnsi="Helvetica" w:cs="Helvetica"/>
          <w:sz w:val="20"/>
          <w:szCs w:val="20"/>
        </w:rPr>
        <w:t>. Bajo este procedimiento de evaluación de las propuestas</w:t>
      </w:r>
      <w:r w:rsidR="006B3408" w:rsidRPr="003C5E43">
        <w:rPr>
          <w:rFonts w:ascii="Helvetica" w:hAnsi="Helvetica" w:cs="Helvetica"/>
          <w:sz w:val="20"/>
          <w:szCs w:val="20"/>
        </w:rPr>
        <w:t>,</w:t>
      </w:r>
      <w:r w:rsidR="00CB717A" w:rsidRPr="003C5E43">
        <w:rPr>
          <w:rFonts w:ascii="Helvetica" w:hAnsi="Helvetica" w:cs="Helvetica"/>
          <w:sz w:val="20"/>
          <w:szCs w:val="20"/>
        </w:rPr>
        <w:t xml:space="preserve"> se vincula la capacidad </w:t>
      </w:r>
      <w:r w:rsidR="002C3AB3" w:rsidRPr="003C5E43">
        <w:rPr>
          <w:rFonts w:ascii="Helvetica" w:hAnsi="Helvetica" w:cs="Helvetica"/>
          <w:sz w:val="20"/>
          <w:szCs w:val="20"/>
        </w:rPr>
        <w:t>técnica, financiera, de experiencia y especialidad en la materia y de cumplimiento de obligaciones</w:t>
      </w:r>
      <w:r w:rsidR="00E8628B" w:rsidRPr="003C5E43">
        <w:rPr>
          <w:rFonts w:ascii="Helvetica" w:hAnsi="Helvetica" w:cs="Helvetica"/>
          <w:sz w:val="20"/>
          <w:szCs w:val="20"/>
        </w:rPr>
        <w:t xml:space="preserve"> que deben </w:t>
      </w:r>
      <w:r w:rsidR="002C3AB3" w:rsidRPr="003C5E43">
        <w:rPr>
          <w:rFonts w:ascii="Helvetica" w:hAnsi="Helvetica" w:cs="Helvetica"/>
          <w:sz w:val="20"/>
          <w:szCs w:val="20"/>
        </w:rPr>
        <w:t>acreditar</w:t>
      </w:r>
      <w:r w:rsidR="00E8628B" w:rsidRPr="003C5E43">
        <w:rPr>
          <w:rFonts w:ascii="Helvetica" w:hAnsi="Helvetica" w:cs="Helvetica"/>
          <w:sz w:val="20"/>
          <w:szCs w:val="20"/>
        </w:rPr>
        <w:t xml:space="preserve"> los </w:t>
      </w:r>
      <w:r w:rsidR="008B6F03" w:rsidRPr="003C5E43">
        <w:rPr>
          <w:rFonts w:ascii="Helvetica" w:hAnsi="Helvetica" w:cs="Helvetica"/>
          <w:sz w:val="20"/>
          <w:szCs w:val="20"/>
        </w:rPr>
        <w:t>licitantes</w:t>
      </w:r>
      <w:r w:rsidR="00E8628B" w:rsidRPr="003C5E43">
        <w:rPr>
          <w:rFonts w:ascii="Helvetica" w:hAnsi="Helvetica" w:cs="Helvetica"/>
          <w:sz w:val="20"/>
          <w:szCs w:val="20"/>
        </w:rPr>
        <w:t xml:space="preserve"> </w:t>
      </w:r>
      <w:r w:rsidR="00CB717A" w:rsidRPr="003C5E43">
        <w:rPr>
          <w:rFonts w:ascii="Helvetica" w:hAnsi="Helvetica" w:cs="Helvetica"/>
          <w:sz w:val="20"/>
          <w:szCs w:val="20"/>
        </w:rPr>
        <w:t xml:space="preserve">para determinar la solvencia de sus propuestas y seleccionar a la propuesta más conveniente </w:t>
      </w:r>
      <w:r w:rsidR="00E45953" w:rsidRPr="003C5E43">
        <w:rPr>
          <w:rFonts w:ascii="Helvetica" w:hAnsi="Helvetica" w:cs="Helvetica"/>
          <w:sz w:val="20"/>
          <w:szCs w:val="20"/>
        </w:rPr>
        <w:t xml:space="preserve">la </w:t>
      </w:r>
      <w:bookmarkStart w:id="1" w:name="_Hlk132303788"/>
      <w:r w:rsidR="00F827CD" w:rsidRPr="003C5E43">
        <w:rPr>
          <w:rFonts w:ascii="Helvetica" w:hAnsi="Helvetica" w:cs="Helvetica"/>
          <w:b/>
          <w:bCs/>
          <w:sz w:val="20"/>
          <w:szCs w:val="20"/>
        </w:rPr>
        <w:t xml:space="preserve">Adquisición de Equipamiento Tecnológico para el Edificio de </w:t>
      </w:r>
      <w:r w:rsidR="00D06419" w:rsidRPr="003C5E43">
        <w:rPr>
          <w:rFonts w:ascii="Helvetica" w:hAnsi="Helvetica" w:cs="Helvetica"/>
          <w:b/>
          <w:bCs/>
          <w:sz w:val="20"/>
          <w:szCs w:val="20"/>
        </w:rPr>
        <w:t xml:space="preserve">Prevención y </w:t>
      </w:r>
      <w:r w:rsidR="00F827CD" w:rsidRPr="003C5E43">
        <w:rPr>
          <w:rFonts w:ascii="Helvetica" w:hAnsi="Helvetica" w:cs="Helvetica"/>
          <w:b/>
          <w:bCs/>
          <w:sz w:val="20"/>
          <w:szCs w:val="20"/>
        </w:rPr>
        <w:t>Protección Universitaria</w:t>
      </w:r>
      <w:bookmarkEnd w:id="1"/>
      <w:r w:rsidR="00E45953" w:rsidRPr="003C5E43">
        <w:rPr>
          <w:rFonts w:ascii="Helvetica" w:hAnsi="Helvetica" w:cs="Helvetica"/>
          <w:sz w:val="20"/>
          <w:szCs w:val="20"/>
        </w:rPr>
        <w:t>.</w:t>
      </w:r>
    </w:p>
    <w:p w14:paraId="1857DAEF" w14:textId="77777777" w:rsidR="00E45953" w:rsidRPr="003C5E43" w:rsidRDefault="00E45953" w:rsidP="00CB717A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bookmarkEnd w:id="0"/>
    <w:p w14:paraId="11D5D248" w14:textId="345E8271" w:rsidR="00234F0C" w:rsidRPr="003C5E43" w:rsidRDefault="00CB717A" w:rsidP="009A668E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>C</w:t>
      </w:r>
      <w:r w:rsidR="009A668E" w:rsidRPr="003C5E43">
        <w:rPr>
          <w:rFonts w:ascii="Helvetica" w:hAnsi="Helvetica" w:cs="Helvetica"/>
          <w:sz w:val="20"/>
          <w:szCs w:val="20"/>
        </w:rPr>
        <w:t>on fundamento en el artículo 44 fracción IV del Reglamento de la Ley de Adquisiciones, Arrendamientos y Servicios del Sector Público del Estado de Hidalgo</w:t>
      </w:r>
      <w:r w:rsidR="002A5CA5" w:rsidRPr="003C5E43">
        <w:rPr>
          <w:rFonts w:ascii="Helvetica" w:hAnsi="Helvetica" w:cs="Helvetica"/>
          <w:sz w:val="20"/>
          <w:szCs w:val="20"/>
        </w:rPr>
        <w:t xml:space="preserve">, </w:t>
      </w:r>
      <w:r w:rsidR="008152B3" w:rsidRPr="003C5E43">
        <w:rPr>
          <w:rFonts w:ascii="Helvetica" w:hAnsi="Helvetica" w:cs="Helvetica"/>
          <w:sz w:val="20"/>
          <w:szCs w:val="20"/>
        </w:rPr>
        <w:t xml:space="preserve">en </w:t>
      </w:r>
      <w:r w:rsidR="002A5CA5" w:rsidRPr="003C5E43">
        <w:rPr>
          <w:rFonts w:ascii="Helvetica" w:hAnsi="Helvetica" w:cs="Helvetica"/>
          <w:sz w:val="20"/>
          <w:szCs w:val="20"/>
        </w:rPr>
        <w:t>el numeral 2.</w:t>
      </w:r>
      <w:r w:rsidR="00917AA0" w:rsidRPr="003C5E43">
        <w:rPr>
          <w:rFonts w:ascii="Helvetica" w:hAnsi="Helvetica" w:cs="Helvetica"/>
          <w:sz w:val="20"/>
          <w:szCs w:val="20"/>
        </w:rPr>
        <w:t>8</w:t>
      </w:r>
      <w:r w:rsidR="002A5CA5" w:rsidRPr="003C5E43">
        <w:rPr>
          <w:rFonts w:ascii="Helvetica" w:hAnsi="Helvetica" w:cs="Helvetica"/>
          <w:sz w:val="20"/>
          <w:szCs w:val="20"/>
        </w:rPr>
        <w:t xml:space="preserve"> último párrafo de las bases de licitación </w:t>
      </w:r>
      <w:r w:rsidRPr="003C5E43">
        <w:rPr>
          <w:rFonts w:ascii="Helvetica" w:hAnsi="Helvetica" w:cs="Helvetica"/>
          <w:sz w:val="20"/>
          <w:szCs w:val="20"/>
        </w:rPr>
        <w:t xml:space="preserve">se establece </w:t>
      </w:r>
      <w:r w:rsidR="002A5CA5" w:rsidRPr="003C5E43">
        <w:rPr>
          <w:rFonts w:ascii="Helvetica" w:hAnsi="Helvetica" w:cs="Helvetica"/>
          <w:sz w:val="20"/>
          <w:szCs w:val="20"/>
        </w:rPr>
        <w:t>como requisito</w:t>
      </w:r>
      <w:r w:rsidR="00234F0C" w:rsidRPr="003C5E43">
        <w:rPr>
          <w:rFonts w:ascii="Helvetica" w:hAnsi="Helvetica" w:cs="Helvetica"/>
          <w:sz w:val="20"/>
          <w:szCs w:val="20"/>
        </w:rPr>
        <w:t>s</w:t>
      </w:r>
      <w:r w:rsidR="002A5CA5" w:rsidRPr="003C5E43">
        <w:rPr>
          <w:rFonts w:ascii="Helvetica" w:hAnsi="Helvetica" w:cs="Helvetica"/>
          <w:sz w:val="20"/>
          <w:szCs w:val="20"/>
        </w:rPr>
        <w:t xml:space="preserve"> indispensable</w:t>
      </w:r>
      <w:r w:rsidR="00234F0C" w:rsidRPr="003C5E43">
        <w:rPr>
          <w:rFonts w:ascii="Helvetica" w:hAnsi="Helvetica" w:cs="Helvetica"/>
          <w:sz w:val="20"/>
          <w:szCs w:val="20"/>
        </w:rPr>
        <w:t>s</w:t>
      </w:r>
      <w:r w:rsidR="002A5CA5" w:rsidRPr="003C5E43">
        <w:rPr>
          <w:rFonts w:ascii="Helvetica" w:hAnsi="Helvetica" w:cs="Helvetica"/>
          <w:sz w:val="20"/>
          <w:szCs w:val="20"/>
        </w:rPr>
        <w:t xml:space="preserve"> </w:t>
      </w:r>
      <w:r w:rsidR="009A668E" w:rsidRPr="003C5E43">
        <w:rPr>
          <w:rFonts w:ascii="Helvetica" w:hAnsi="Helvetica" w:cs="Helvetica"/>
          <w:sz w:val="20"/>
          <w:szCs w:val="20"/>
        </w:rPr>
        <w:t>para evaluar la proposición</w:t>
      </w:r>
      <w:r w:rsidR="00917AA0" w:rsidRPr="003C5E43">
        <w:rPr>
          <w:rFonts w:ascii="Helvetica" w:hAnsi="Helvetica" w:cs="Helvetica"/>
          <w:sz w:val="20"/>
          <w:szCs w:val="20"/>
        </w:rPr>
        <w:t>, entre otros,</w:t>
      </w:r>
      <w:r w:rsidR="00234F0C" w:rsidRPr="003C5E43">
        <w:rPr>
          <w:rFonts w:ascii="Helvetica" w:hAnsi="Helvetica" w:cs="Helvetica"/>
          <w:sz w:val="20"/>
          <w:szCs w:val="20"/>
        </w:rPr>
        <w:t xml:space="preserve"> los siguientes:</w:t>
      </w:r>
    </w:p>
    <w:p w14:paraId="35D2BB82" w14:textId="61A566E4" w:rsidR="00234F0C" w:rsidRPr="003C5E43" w:rsidRDefault="00234F0C" w:rsidP="00234F0C">
      <w:pPr>
        <w:pStyle w:val="Default"/>
        <w:numPr>
          <w:ilvl w:val="0"/>
          <w:numId w:val="2"/>
        </w:numPr>
        <w:jc w:val="both"/>
        <w:rPr>
          <w:rFonts w:ascii="Helvetica" w:hAnsi="Helvetica" w:cs="Helvetica"/>
          <w:color w:val="auto"/>
          <w:sz w:val="20"/>
          <w:szCs w:val="20"/>
        </w:rPr>
      </w:pPr>
      <w:r w:rsidRPr="003C5E43">
        <w:rPr>
          <w:rFonts w:ascii="Helvetica" w:hAnsi="Helvetica" w:cs="Helvetica"/>
          <w:color w:val="auto"/>
          <w:sz w:val="20"/>
          <w:szCs w:val="20"/>
        </w:rPr>
        <w:t>Ofertar las especificaciones técnicas iguales o superiores para los equipos a instalar que se describen</w:t>
      </w:r>
      <w:r w:rsidR="005A209A" w:rsidRPr="003C5E43">
        <w:rPr>
          <w:rFonts w:ascii="Helvetica" w:hAnsi="Helvetica" w:cs="Helvetica"/>
          <w:color w:val="auto"/>
          <w:sz w:val="20"/>
          <w:szCs w:val="20"/>
        </w:rPr>
        <w:t xml:space="preserve"> en</w:t>
      </w:r>
      <w:r w:rsidRPr="003C5E43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C5E43">
        <w:rPr>
          <w:rFonts w:ascii="Helvetica" w:hAnsi="Helvetica" w:cs="Helvetica"/>
          <w:sz w:val="20"/>
          <w:szCs w:val="20"/>
        </w:rPr>
        <w:t xml:space="preserve">el </w:t>
      </w:r>
      <w:r w:rsidRPr="003C5E43">
        <w:rPr>
          <w:rFonts w:ascii="Helvetica" w:hAnsi="Helvetica" w:cs="Helvetica"/>
          <w:b/>
          <w:bCs/>
          <w:sz w:val="20"/>
          <w:szCs w:val="20"/>
        </w:rPr>
        <w:t>Anexo No. 1 “</w:t>
      </w:r>
      <w:r w:rsidR="00E45953" w:rsidRPr="003C5E43">
        <w:rPr>
          <w:rFonts w:ascii="Helvetica" w:hAnsi="Helvetica" w:cs="Helvetica"/>
          <w:b/>
          <w:bCs/>
          <w:sz w:val="20"/>
          <w:szCs w:val="20"/>
        </w:rPr>
        <w:t>Términos de Referencia</w:t>
      </w:r>
      <w:r w:rsidRPr="003C5E43">
        <w:rPr>
          <w:rFonts w:ascii="Helvetica" w:hAnsi="Helvetica" w:cs="Helvetica"/>
          <w:b/>
          <w:bCs/>
          <w:sz w:val="20"/>
          <w:szCs w:val="20"/>
        </w:rPr>
        <w:t>”</w:t>
      </w:r>
      <w:r w:rsidR="00E45953" w:rsidRPr="003C5E43">
        <w:rPr>
          <w:rFonts w:ascii="Helvetica" w:hAnsi="Helvetica" w:cs="Helvetica"/>
          <w:b/>
          <w:bCs/>
          <w:sz w:val="20"/>
          <w:szCs w:val="20"/>
        </w:rPr>
        <w:t xml:space="preserve"> y su Guía de Dotación</w:t>
      </w:r>
      <w:r w:rsidRPr="003C5E43">
        <w:rPr>
          <w:rFonts w:ascii="Helvetica" w:hAnsi="Helvetica" w:cs="Helvetica"/>
          <w:sz w:val="20"/>
          <w:szCs w:val="20"/>
        </w:rPr>
        <w:t>.</w:t>
      </w:r>
      <w:r w:rsidRPr="003C5E43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C5E43">
        <w:rPr>
          <w:rFonts w:ascii="Helvetica" w:hAnsi="Helvetica" w:cs="Helvetica"/>
          <w:b/>
          <w:bCs/>
          <w:color w:val="auto"/>
          <w:sz w:val="20"/>
          <w:szCs w:val="20"/>
        </w:rPr>
        <w:t xml:space="preserve">Ofertar especificaciones técnicas inferiores a las requeridas afectará </w:t>
      </w:r>
      <w:r w:rsidR="008152B3" w:rsidRPr="003C5E43">
        <w:rPr>
          <w:rFonts w:ascii="Helvetica" w:hAnsi="Helvetica" w:cs="Helvetica"/>
          <w:b/>
          <w:bCs/>
          <w:color w:val="auto"/>
          <w:sz w:val="20"/>
          <w:szCs w:val="20"/>
        </w:rPr>
        <w:t>la</w:t>
      </w:r>
      <w:r w:rsidRPr="003C5E43">
        <w:rPr>
          <w:rFonts w:ascii="Helvetica" w:hAnsi="Helvetica" w:cs="Helvetica"/>
          <w:b/>
          <w:bCs/>
          <w:color w:val="auto"/>
          <w:sz w:val="20"/>
          <w:szCs w:val="20"/>
        </w:rPr>
        <w:t xml:space="preserve"> solvencia</w:t>
      </w:r>
      <w:r w:rsidR="008152B3" w:rsidRPr="003C5E43">
        <w:rPr>
          <w:rFonts w:ascii="Helvetica" w:hAnsi="Helvetica" w:cs="Helvetica"/>
          <w:b/>
          <w:bCs/>
          <w:color w:val="auto"/>
          <w:sz w:val="20"/>
          <w:szCs w:val="20"/>
        </w:rPr>
        <w:t xml:space="preserve"> técnica</w:t>
      </w:r>
      <w:r w:rsidRPr="003C5E43">
        <w:rPr>
          <w:rFonts w:ascii="Helvetica" w:hAnsi="Helvetica" w:cs="Helvetica"/>
          <w:b/>
          <w:bCs/>
          <w:color w:val="auto"/>
          <w:sz w:val="20"/>
          <w:szCs w:val="20"/>
        </w:rPr>
        <w:t xml:space="preserve"> y motivará en desechamiento de la propuesta</w:t>
      </w:r>
      <w:r w:rsidRPr="003C5E43">
        <w:rPr>
          <w:rFonts w:ascii="Helvetica" w:hAnsi="Helvetica" w:cs="Helvetica"/>
          <w:color w:val="auto"/>
          <w:sz w:val="20"/>
          <w:szCs w:val="20"/>
        </w:rPr>
        <w:t>, y</w:t>
      </w:r>
    </w:p>
    <w:p w14:paraId="707043D7" w14:textId="77777777" w:rsidR="00234F0C" w:rsidRPr="003C5E43" w:rsidRDefault="00234F0C" w:rsidP="00234F0C">
      <w:pPr>
        <w:pStyle w:val="Default"/>
        <w:ind w:left="720"/>
        <w:jc w:val="both"/>
        <w:rPr>
          <w:rFonts w:ascii="Helvetica" w:hAnsi="Helvetica" w:cs="Helvetica"/>
          <w:color w:val="auto"/>
          <w:sz w:val="20"/>
          <w:szCs w:val="20"/>
        </w:rPr>
      </w:pPr>
    </w:p>
    <w:p w14:paraId="1DE7723D" w14:textId="77777777" w:rsidR="00234F0C" w:rsidRPr="003C5E43" w:rsidRDefault="00234F0C" w:rsidP="00234F0C">
      <w:pPr>
        <w:pStyle w:val="Default"/>
        <w:numPr>
          <w:ilvl w:val="0"/>
          <w:numId w:val="2"/>
        </w:numPr>
        <w:jc w:val="both"/>
        <w:rPr>
          <w:rFonts w:ascii="Helvetica" w:hAnsi="Helvetica" w:cs="Helvetica"/>
          <w:color w:val="auto"/>
          <w:sz w:val="20"/>
          <w:szCs w:val="20"/>
        </w:rPr>
      </w:pPr>
      <w:r w:rsidRPr="003C5E43">
        <w:rPr>
          <w:rFonts w:ascii="Helvetica" w:hAnsi="Helvetica" w:cs="Helvetica"/>
          <w:color w:val="auto"/>
          <w:sz w:val="20"/>
          <w:szCs w:val="20"/>
        </w:rPr>
        <w:t xml:space="preserve">Cumplir con los parámetros de acreditación del Protocolo de Pruebas de Funcionalidades establecidos en el Anexo 12 Bis de estas bases. </w:t>
      </w:r>
      <w:r w:rsidRPr="003C5E43">
        <w:rPr>
          <w:rFonts w:ascii="Helvetica" w:hAnsi="Helvetica" w:cs="Helvetica"/>
          <w:b/>
          <w:bCs/>
          <w:color w:val="auto"/>
          <w:sz w:val="20"/>
          <w:szCs w:val="20"/>
        </w:rPr>
        <w:t>Su incumplimiento o no acreditación afectará su solvencia y motivará el desechamiento de la propuesta</w:t>
      </w:r>
      <w:r w:rsidRPr="003C5E43">
        <w:rPr>
          <w:rFonts w:ascii="Helvetica" w:hAnsi="Helvetica" w:cs="Helvetica"/>
          <w:color w:val="auto"/>
          <w:sz w:val="20"/>
          <w:szCs w:val="20"/>
        </w:rPr>
        <w:t>.</w:t>
      </w:r>
    </w:p>
    <w:p w14:paraId="7951840C" w14:textId="77777777" w:rsidR="00234F0C" w:rsidRPr="003C5E43" w:rsidRDefault="00234F0C" w:rsidP="00D92E5C">
      <w:pPr>
        <w:jc w:val="both"/>
        <w:rPr>
          <w:rFonts w:ascii="Helvetica" w:hAnsi="Helvetica" w:cs="Helvetica"/>
          <w:sz w:val="20"/>
          <w:szCs w:val="20"/>
        </w:rPr>
      </w:pPr>
    </w:p>
    <w:p w14:paraId="382BACD5" w14:textId="18F65565" w:rsidR="00512B71" w:rsidRPr="003C5E43" w:rsidRDefault="00CB717A" w:rsidP="00D92E5C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>Posterior a la acreditación de las pruebas de demostración de funcionalidades que se establecen en el Anexo 12 Bis de las bases de licitación</w:t>
      </w:r>
      <w:r w:rsidR="007C722F" w:rsidRPr="003C5E43">
        <w:rPr>
          <w:rFonts w:ascii="Helvetica" w:hAnsi="Helvetica" w:cs="Helvetica"/>
          <w:sz w:val="20"/>
          <w:szCs w:val="20"/>
        </w:rPr>
        <w:t xml:space="preserve"> y sobre las propuestas que no resulten desechadas</w:t>
      </w:r>
      <w:r w:rsidR="00234F0C" w:rsidRPr="003C5E43">
        <w:rPr>
          <w:rFonts w:ascii="Helvetica" w:hAnsi="Helvetica" w:cs="Helvetica"/>
          <w:sz w:val="20"/>
          <w:szCs w:val="20"/>
        </w:rPr>
        <w:t xml:space="preserve"> por ese motivo</w:t>
      </w:r>
      <w:r w:rsidR="007C722F" w:rsidRPr="003C5E43">
        <w:rPr>
          <w:rFonts w:ascii="Helvetica" w:hAnsi="Helvetica" w:cs="Helvetica"/>
          <w:sz w:val="20"/>
          <w:szCs w:val="20"/>
        </w:rPr>
        <w:t xml:space="preserve">, se </w:t>
      </w:r>
      <w:r w:rsidR="00F444DD" w:rsidRPr="003C5E43">
        <w:rPr>
          <w:rFonts w:ascii="Helvetica" w:hAnsi="Helvetica" w:cs="Helvetica"/>
          <w:sz w:val="20"/>
          <w:szCs w:val="20"/>
        </w:rPr>
        <w:t>lleva</w:t>
      </w:r>
      <w:r w:rsidR="007C722F" w:rsidRPr="003C5E43">
        <w:rPr>
          <w:rFonts w:ascii="Helvetica" w:hAnsi="Helvetica" w:cs="Helvetica"/>
          <w:sz w:val="20"/>
          <w:szCs w:val="20"/>
        </w:rPr>
        <w:t>rá</w:t>
      </w:r>
      <w:r w:rsidR="00F444DD" w:rsidRPr="003C5E43">
        <w:rPr>
          <w:rFonts w:ascii="Helvetica" w:hAnsi="Helvetica" w:cs="Helvetica"/>
          <w:sz w:val="20"/>
          <w:szCs w:val="20"/>
        </w:rPr>
        <w:t xml:space="preserve"> a cabo la revisión de la solvencia legal de </w:t>
      </w:r>
      <w:r w:rsidR="007C722F" w:rsidRPr="003C5E43">
        <w:rPr>
          <w:rFonts w:ascii="Helvetica" w:hAnsi="Helvetica" w:cs="Helvetica"/>
          <w:sz w:val="20"/>
          <w:szCs w:val="20"/>
        </w:rPr>
        <w:t>éstas</w:t>
      </w:r>
      <w:r w:rsidR="00F444DD" w:rsidRPr="003C5E43">
        <w:rPr>
          <w:rFonts w:ascii="Helvetica" w:hAnsi="Helvetica" w:cs="Helvetica"/>
          <w:sz w:val="20"/>
          <w:szCs w:val="20"/>
        </w:rPr>
        <w:t>, de conformidad con los requisitos de presentación dispuestos en las bases de licitación</w:t>
      </w:r>
      <w:r w:rsidR="007C722F" w:rsidRPr="003C5E43">
        <w:rPr>
          <w:rFonts w:ascii="Helvetica" w:hAnsi="Helvetica" w:cs="Helvetica"/>
          <w:sz w:val="20"/>
          <w:szCs w:val="20"/>
        </w:rPr>
        <w:t>, acreditando la solvencia legal</w:t>
      </w:r>
      <w:r w:rsidR="0087560C" w:rsidRPr="003C5E43">
        <w:rPr>
          <w:rFonts w:ascii="Helvetica" w:hAnsi="Helvetica" w:cs="Helvetica"/>
          <w:sz w:val="20"/>
          <w:szCs w:val="20"/>
        </w:rPr>
        <w:t>, se procederá a evaluar la propuesta técnica, la cual podrá alcanzar un puntaje máximo de 50 puntos.</w:t>
      </w:r>
      <w:r w:rsidR="0042441E" w:rsidRPr="003C5E43">
        <w:rPr>
          <w:rFonts w:ascii="Helvetica" w:hAnsi="Helvetica" w:cs="Helvetica"/>
          <w:sz w:val="20"/>
          <w:szCs w:val="20"/>
        </w:rPr>
        <w:t xml:space="preserve"> </w:t>
      </w:r>
    </w:p>
    <w:p w14:paraId="6DFD4C39" w14:textId="205B679F" w:rsidR="0042441E" w:rsidRPr="003C5E43" w:rsidRDefault="0087560C" w:rsidP="00D92E5C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 xml:space="preserve">Para acreditar la </w:t>
      </w:r>
      <w:r w:rsidR="00D06419" w:rsidRPr="003C5E43">
        <w:rPr>
          <w:rFonts w:ascii="Helvetica" w:hAnsi="Helvetica" w:cs="Helvetica"/>
          <w:sz w:val="20"/>
          <w:szCs w:val="20"/>
        </w:rPr>
        <w:t>solvencia técnica y por lo tanto no ser objeto de desechamiento, la propuesta técnica del</w:t>
      </w:r>
      <w:r w:rsidR="00D06419" w:rsidRPr="003C5E43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234F0C" w:rsidRPr="003C5E43">
        <w:rPr>
          <w:rFonts w:ascii="Helvetica" w:hAnsi="Helvetica" w:cs="Helvetica"/>
          <w:b/>
          <w:bCs/>
          <w:sz w:val="20"/>
          <w:szCs w:val="20"/>
        </w:rPr>
        <w:t xml:space="preserve">CONCEPTO </w:t>
      </w:r>
      <w:r w:rsidR="00355710" w:rsidRPr="003C5E43">
        <w:rPr>
          <w:rFonts w:ascii="Helvetica" w:hAnsi="Helvetica" w:cs="Helvetica"/>
          <w:b/>
          <w:bCs/>
          <w:sz w:val="20"/>
          <w:szCs w:val="20"/>
        </w:rPr>
        <w:t>ÚNIC</w:t>
      </w:r>
      <w:r w:rsidR="00234F0C" w:rsidRPr="003C5E43">
        <w:rPr>
          <w:rFonts w:ascii="Helvetica" w:hAnsi="Helvetica" w:cs="Helvetica"/>
          <w:b/>
          <w:bCs/>
          <w:sz w:val="20"/>
          <w:szCs w:val="20"/>
        </w:rPr>
        <w:t>O</w:t>
      </w:r>
      <w:r w:rsidR="008A547E" w:rsidRPr="003C5E43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3C5E43">
        <w:rPr>
          <w:rFonts w:ascii="Helvetica" w:hAnsi="Helvetica" w:cs="Helvetica"/>
          <w:sz w:val="20"/>
          <w:szCs w:val="20"/>
        </w:rPr>
        <w:t>deberá alcanzar un puntaje mínimo de 37.5 puntos</w:t>
      </w:r>
      <w:r w:rsidR="002B1EC5" w:rsidRPr="003C5E43">
        <w:rPr>
          <w:rFonts w:ascii="Helvetica" w:hAnsi="Helvetica" w:cs="Helvetica"/>
          <w:sz w:val="20"/>
          <w:szCs w:val="20"/>
        </w:rPr>
        <w:t xml:space="preserve"> de los 50 puntos máximos asignables de conformidad con el </w:t>
      </w:r>
      <w:r w:rsidR="002B1EC5" w:rsidRPr="003C5E43">
        <w:rPr>
          <w:rFonts w:ascii="Helvetica" w:hAnsi="Helvetica" w:cs="Helvetica"/>
          <w:b/>
          <w:bCs/>
          <w:sz w:val="20"/>
          <w:szCs w:val="20"/>
        </w:rPr>
        <w:t xml:space="preserve">Anexo </w:t>
      </w:r>
      <w:r w:rsidR="009C5907" w:rsidRPr="003C5E43">
        <w:rPr>
          <w:rFonts w:ascii="Helvetica" w:hAnsi="Helvetica" w:cs="Helvetica"/>
          <w:b/>
          <w:bCs/>
          <w:sz w:val="20"/>
          <w:szCs w:val="20"/>
        </w:rPr>
        <w:t>1</w:t>
      </w:r>
      <w:r w:rsidR="009A668E" w:rsidRPr="003C5E43">
        <w:rPr>
          <w:rFonts w:ascii="Helvetica" w:hAnsi="Helvetica" w:cs="Helvetica"/>
          <w:b/>
          <w:bCs/>
          <w:sz w:val="20"/>
          <w:szCs w:val="20"/>
        </w:rPr>
        <w:t>2</w:t>
      </w:r>
      <w:r w:rsidR="002B1EC5" w:rsidRPr="003C5E43">
        <w:rPr>
          <w:rFonts w:ascii="Helvetica" w:hAnsi="Helvetica" w:cs="Helvetica"/>
          <w:b/>
          <w:bCs/>
          <w:sz w:val="20"/>
          <w:szCs w:val="20"/>
        </w:rPr>
        <w:t xml:space="preserve"> “Matriz de Evaluación por Puntos”</w:t>
      </w:r>
      <w:r w:rsidRPr="003C5E43">
        <w:rPr>
          <w:rFonts w:ascii="Helvetica" w:hAnsi="Helvetica" w:cs="Helvetica"/>
          <w:sz w:val="20"/>
          <w:szCs w:val="20"/>
        </w:rPr>
        <w:t>.</w:t>
      </w:r>
      <w:r w:rsidR="00234F0C" w:rsidRPr="003C5E43">
        <w:rPr>
          <w:rFonts w:ascii="Helvetica" w:hAnsi="Helvetica" w:cs="Helvetica"/>
          <w:sz w:val="20"/>
          <w:szCs w:val="20"/>
        </w:rPr>
        <w:t xml:space="preserve"> Al </w:t>
      </w:r>
      <w:r w:rsidR="008152B3" w:rsidRPr="003C5E43">
        <w:rPr>
          <w:rFonts w:ascii="Helvetica" w:hAnsi="Helvetica" w:cs="Helvetica"/>
          <w:sz w:val="20"/>
          <w:szCs w:val="20"/>
        </w:rPr>
        <w:t xml:space="preserve">resultar insolvente técnicamente la propuesta técnica por </w:t>
      </w:r>
      <w:r w:rsidR="00234F0C" w:rsidRPr="003C5E43">
        <w:rPr>
          <w:rFonts w:ascii="Helvetica" w:hAnsi="Helvetica" w:cs="Helvetica"/>
          <w:sz w:val="20"/>
          <w:szCs w:val="20"/>
        </w:rPr>
        <w:t>no alcanzar el puntaje mínimo</w:t>
      </w:r>
      <w:r w:rsidR="008152B3" w:rsidRPr="003C5E43">
        <w:rPr>
          <w:rFonts w:ascii="Helvetica" w:hAnsi="Helvetica" w:cs="Helvetica"/>
          <w:sz w:val="20"/>
          <w:szCs w:val="20"/>
        </w:rPr>
        <w:t>, la propuesta económica no será objeto de evaluación.</w:t>
      </w:r>
    </w:p>
    <w:p w14:paraId="1E1AFFE4" w14:textId="3C19BE9D" w:rsidR="002B1EC5" w:rsidRPr="003C5E43" w:rsidRDefault="00BE12C8" w:rsidP="00D92E5C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>La</w:t>
      </w:r>
      <w:r w:rsidR="00083256" w:rsidRPr="003C5E43">
        <w:rPr>
          <w:rFonts w:ascii="Helvetica" w:hAnsi="Helvetica" w:cs="Helvetica"/>
          <w:sz w:val="20"/>
          <w:szCs w:val="20"/>
        </w:rPr>
        <w:t xml:space="preserve"> </w:t>
      </w:r>
      <w:r w:rsidRPr="003C5E43">
        <w:rPr>
          <w:rFonts w:ascii="Helvetica" w:hAnsi="Helvetica" w:cs="Helvetica"/>
          <w:sz w:val="20"/>
          <w:szCs w:val="20"/>
        </w:rPr>
        <w:t>evaluación</w:t>
      </w:r>
      <w:r w:rsidR="00083256" w:rsidRPr="003C5E43">
        <w:rPr>
          <w:rFonts w:ascii="Helvetica" w:hAnsi="Helvetica" w:cs="Helvetica"/>
          <w:sz w:val="20"/>
          <w:szCs w:val="20"/>
        </w:rPr>
        <w:t xml:space="preserve"> económica</w:t>
      </w:r>
      <w:r w:rsidRPr="003C5E43">
        <w:rPr>
          <w:rFonts w:ascii="Helvetica" w:hAnsi="Helvetica" w:cs="Helvetica"/>
          <w:sz w:val="20"/>
          <w:szCs w:val="20"/>
        </w:rPr>
        <w:t xml:space="preserve"> otorgará como máximo 50 pu</w:t>
      </w:r>
      <w:r w:rsidR="00B30058" w:rsidRPr="003C5E43">
        <w:rPr>
          <w:rFonts w:ascii="Helvetica" w:hAnsi="Helvetica" w:cs="Helvetica"/>
          <w:sz w:val="20"/>
          <w:szCs w:val="20"/>
        </w:rPr>
        <w:t>ntos a la propuesta económica que oferte el precio más bajo y que técnicamente haya resultado solvente por haber obtenido al menos 37.5 puntos, a las restantes propuestas económicas, que hayan resultado técnicamente solventes, prop</w:t>
      </w:r>
      <w:r w:rsidRPr="003C5E43">
        <w:rPr>
          <w:rFonts w:ascii="Helvetica" w:hAnsi="Helvetica" w:cs="Helvetica"/>
          <w:sz w:val="20"/>
          <w:szCs w:val="20"/>
        </w:rPr>
        <w:t>o</w:t>
      </w:r>
      <w:r w:rsidR="00B30058" w:rsidRPr="003C5E43">
        <w:rPr>
          <w:rFonts w:ascii="Helvetica" w:hAnsi="Helvetica" w:cs="Helvetica"/>
          <w:sz w:val="20"/>
          <w:szCs w:val="20"/>
        </w:rPr>
        <w:t>rcio</w:t>
      </w:r>
      <w:r w:rsidRPr="003C5E43">
        <w:rPr>
          <w:rFonts w:ascii="Helvetica" w:hAnsi="Helvetica" w:cs="Helvetica"/>
          <w:sz w:val="20"/>
          <w:szCs w:val="20"/>
        </w:rPr>
        <w:t>nalmente se les otorgará el puntaje conforme a la metodología que se describe más adelante.</w:t>
      </w:r>
      <w:r w:rsidR="008A547E" w:rsidRPr="003C5E43">
        <w:rPr>
          <w:rFonts w:ascii="Helvetica" w:hAnsi="Helvetica" w:cs="Helvetica"/>
          <w:sz w:val="20"/>
          <w:szCs w:val="20"/>
        </w:rPr>
        <w:t xml:space="preserve"> </w:t>
      </w:r>
    </w:p>
    <w:p w14:paraId="0C1D0F44" w14:textId="34F87990" w:rsidR="008A547E" w:rsidRPr="003C5E43" w:rsidRDefault="008A547E" w:rsidP="00D92E5C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 xml:space="preserve">Para evaluar este rubro, </w:t>
      </w:r>
      <w:r w:rsidR="00355710" w:rsidRPr="003C5E43">
        <w:rPr>
          <w:rFonts w:ascii="Helvetica" w:hAnsi="Helvetica" w:cs="Helvetica"/>
          <w:sz w:val="20"/>
          <w:szCs w:val="20"/>
        </w:rPr>
        <w:t xml:space="preserve">la convocante </w:t>
      </w:r>
      <w:r w:rsidRPr="003C5E43">
        <w:rPr>
          <w:rFonts w:ascii="Helvetica" w:hAnsi="Helvetica" w:cs="Helvetica"/>
          <w:sz w:val="20"/>
          <w:szCs w:val="20"/>
        </w:rPr>
        <w:t>exclui</w:t>
      </w:r>
      <w:r w:rsidR="00355710" w:rsidRPr="003C5E43">
        <w:rPr>
          <w:rFonts w:ascii="Helvetica" w:hAnsi="Helvetica" w:cs="Helvetica"/>
          <w:sz w:val="20"/>
          <w:szCs w:val="20"/>
        </w:rPr>
        <w:t>rá</w:t>
      </w:r>
      <w:r w:rsidRPr="003C5E43">
        <w:rPr>
          <w:rFonts w:ascii="Helvetica" w:hAnsi="Helvetica" w:cs="Helvetica"/>
          <w:sz w:val="20"/>
          <w:szCs w:val="20"/>
        </w:rPr>
        <w:t xml:space="preserve"> del precio ofertado por el licitante el impuesto al valor agregado y sólo se considerará el precio neto propuesto.</w:t>
      </w:r>
    </w:p>
    <w:p w14:paraId="48115438" w14:textId="221AA32E" w:rsidR="008A547E" w:rsidRPr="003C5E43" w:rsidRDefault="008A547E" w:rsidP="00D92E5C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lastRenderedPageBreak/>
        <w:t>Para determinar la puntuación que correspondan al precio ofertado</w:t>
      </w:r>
      <w:r w:rsidR="00D06419" w:rsidRPr="003C5E43">
        <w:rPr>
          <w:rFonts w:ascii="Helvetica" w:hAnsi="Helvetica" w:cs="Helvetica"/>
          <w:sz w:val="20"/>
          <w:szCs w:val="20"/>
        </w:rPr>
        <w:t xml:space="preserve"> del</w:t>
      </w:r>
      <w:r w:rsidR="00D06419" w:rsidRPr="003C5E43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E11854" w:rsidRPr="003C5E43">
        <w:rPr>
          <w:rFonts w:ascii="Helvetica" w:hAnsi="Helvetica" w:cs="Helvetica"/>
          <w:b/>
          <w:bCs/>
          <w:sz w:val="20"/>
          <w:szCs w:val="20"/>
        </w:rPr>
        <w:t xml:space="preserve">CONCEPTO </w:t>
      </w:r>
      <w:r w:rsidR="00355710" w:rsidRPr="003C5E43">
        <w:rPr>
          <w:rFonts w:ascii="Helvetica" w:hAnsi="Helvetica" w:cs="Helvetica"/>
          <w:b/>
          <w:bCs/>
          <w:sz w:val="20"/>
          <w:szCs w:val="20"/>
        </w:rPr>
        <w:t>ÚNIC</w:t>
      </w:r>
      <w:r w:rsidR="00E11854" w:rsidRPr="003C5E43">
        <w:rPr>
          <w:rFonts w:ascii="Helvetica" w:hAnsi="Helvetica" w:cs="Helvetica"/>
          <w:b/>
          <w:bCs/>
          <w:sz w:val="20"/>
          <w:szCs w:val="20"/>
        </w:rPr>
        <w:t>O</w:t>
      </w:r>
      <w:r w:rsidR="00D92E5C" w:rsidRPr="003C5E43">
        <w:rPr>
          <w:rFonts w:ascii="Helvetica" w:hAnsi="Helvetica" w:cs="Helvetica"/>
          <w:b/>
          <w:bCs/>
          <w:sz w:val="20"/>
          <w:szCs w:val="20"/>
        </w:rPr>
        <w:t>,</w:t>
      </w:r>
      <w:r w:rsidRPr="003C5E43">
        <w:rPr>
          <w:rFonts w:ascii="Helvetica" w:hAnsi="Helvetica" w:cs="Helvetica"/>
          <w:sz w:val="20"/>
          <w:szCs w:val="20"/>
        </w:rPr>
        <w:t xml:space="preserve"> por cada licitante, la convocante aplicará la siguiente fórmula:</w:t>
      </w:r>
    </w:p>
    <w:p w14:paraId="27BABE6F" w14:textId="59E0194B" w:rsidR="008A547E" w:rsidRPr="003C5E43" w:rsidRDefault="008A547E" w:rsidP="00D92E5C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>PPAj = 50(PSPMB/</w:t>
      </w:r>
      <w:r w:rsidR="00475AE0" w:rsidRPr="003C5E43">
        <w:rPr>
          <w:rFonts w:ascii="Helvetica" w:hAnsi="Helvetica" w:cs="Helvetica"/>
          <w:sz w:val="20"/>
          <w:szCs w:val="20"/>
        </w:rPr>
        <w:t xml:space="preserve">PPj)  </w:t>
      </w:r>
      <w:r w:rsidRPr="003C5E43">
        <w:rPr>
          <w:rFonts w:ascii="Helvetica" w:hAnsi="Helvetica" w:cs="Helvetica"/>
          <w:sz w:val="20"/>
          <w:szCs w:val="20"/>
        </w:rPr>
        <w:t>            Para toda j = 1, 2,</w:t>
      </w:r>
      <w:r w:rsidR="00A5770A" w:rsidRPr="003C5E43">
        <w:rPr>
          <w:rFonts w:ascii="Helvetica" w:hAnsi="Helvetica" w:cs="Helvetica"/>
          <w:sz w:val="20"/>
          <w:szCs w:val="20"/>
        </w:rPr>
        <w:t xml:space="preserve"> </w:t>
      </w:r>
      <w:r w:rsidRPr="003C5E43">
        <w:rPr>
          <w:rFonts w:ascii="Helvetica" w:hAnsi="Helvetica" w:cs="Helvetica"/>
          <w:sz w:val="20"/>
          <w:szCs w:val="20"/>
        </w:rPr>
        <w:t>...,</w:t>
      </w:r>
      <w:r w:rsidR="00A5770A" w:rsidRPr="003C5E43">
        <w:rPr>
          <w:rFonts w:ascii="Helvetica" w:hAnsi="Helvetica" w:cs="Helvetica"/>
          <w:sz w:val="20"/>
          <w:szCs w:val="20"/>
        </w:rPr>
        <w:t xml:space="preserve"> </w:t>
      </w:r>
      <w:r w:rsidRPr="003C5E43">
        <w:rPr>
          <w:rFonts w:ascii="Helvetica" w:hAnsi="Helvetica" w:cs="Helvetica"/>
          <w:sz w:val="20"/>
          <w:szCs w:val="20"/>
        </w:rPr>
        <w:t>n</w:t>
      </w:r>
    </w:p>
    <w:p w14:paraId="25E5A4A4" w14:textId="74EAA775" w:rsidR="008A547E" w:rsidRPr="003C5E43" w:rsidRDefault="008A547E" w:rsidP="00D92E5C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>       Donde:</w:t>
      </w:r>
    </w:p>
    <w:p w14:paraId="75E9E970" w14:textId="77777777" w:rsidR="008A547E" w:rsidRPr="003C5E43" w:rsidRDefault="008A547E" w:rsidP="00D92E5C">
      <w:pPr>
        <w:ind w:left="708"/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b/>
          <w:sz w:val="20"/>
          <w:szCs w:val="20"/>
        </w:rPr>
        <w:t>PPAj =</w:t>
      </w:r>
      <w:r w:rsidRPr="003C5E43">
        <w:rPr>
          <w:rFonts w:ascii="Helvetica" w:hAnsi="Helvetica" w:cs="Helvetica"/>
          <w:sz w:val="20"/>
          <w:szCs w:val="20"/>
        </w:rPr>
        <w:t xml:space="preserve"> Puntuación o unidades Porcentuales a Asignar a la proposición "j" por el precio ofertado;</w:t>
      </w:r>
    </w:p>
    <w:p w14:paraId="29AD60EE" w14:textId="77777777" w:rsidR="008A547E" w:rsidRPr="003C5E43" w:rsidRDefault="008A547E" w:rsidP="00D92E5C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>       </w:t>
      </w:r>
      <w:r w:rsidRPr="003C5E43">
        <w:rPr>
          <w:rFonts w:ascii="Helvetica" w:hAnsi="Helvetica" w:cs="Helvetica"/>
          <w:sz w:val="20"/>
          <w:szCs w:val="20"/>
        </w:rPr>
        <w:tab/>
      </w:r>
      <w:r w:rsidRPr="003C5E43">
        <w:rPr>
          <w:rFonts w:ascii="Helvetica" w:hAnsi="Helvetica" w:cs="Helvetica"/>
          <w:b/>
          <w:sz w:val="20"/>
          <w:szCs w:val="20"/>
        </w:rPr>
        <w:t>PSPMB =</w:t>
      </w:r>
      <w:r w:rsidRPr="003C5E43">
        <w:rPr>
          <w:rFonts w:ascii="Helvetica" w:hAnsi="Helvetica" w:cs="Helvetica"/>
          <w:sz w:val="20"/>
          <w:szCs w:val="20"/>
        </w:rPr>
        <w:t xml:space="preserve"> Proposición Solvente cuyo Precio es el Más Bajo;</w:t>
      </w:r>
    </w:p>
    <w:p w14:paraId="7B6C4C05" w14:textId="77777777" w:rsidR="008A547E" w:rsidRPr="003C5E43" w:rsidRDefault="008A547E" w:rsidP="00D92E5C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>       </w:t>
      </w:r>
      <w:r w:rsidRPr="003C5E43">
        <w:rPr>
          <w:rFonts w:ascii="Helvetica" w:hAnsi="Helvetica" w:cs="Helvetica"/>
          <w:sz w:val="20"/>
          <w:szCs w:val="20"/>
        </w:rPr>
        <w:tab/>
      </w:r>
      <w:r w:rsidRPr="003C5E43">
        <w:rPr>
          <w:rFonts w:ascii="Helvetica" w:hAnsi="Helvetica" w:cs="Helvetica"/>
          <w:b/>
          <w:sz w:val="20"/>
          <w:szCs w:val="20"/>
        </w:rPr>
        <w:t>PPj =</w:t>
      </w:r>
      <w:r w:rsidRPr="003C5E43">
        <w:rPr>
          <w:rFonts w:ascii="Helvetica" w:hAnsi="Helvetica" w:cs="Helvetica"/>
          <w:sz w:val="20"/>
          <w:szCs w:val="20"/>
        </w:rPr>
        <w:t xml:space="preserve"> Precio de la Proposición "j", y</w:t>
      </w:r>
    </w:p>
    <w:p w14:paraId="04AD598D" w14:textId="77777777" w:rsidR="008A547E" w:rsidRPr="003C5E43" w:rsidRDefault="008A547E" w:rsidP="00D92E5C">
      <w:pPr>
        <w:ind w:left="708"/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b/>
          <w:sz w:val="20"/>
          <w:szCs w:val="20"/>
        </w:rPr>
        <w:t>El subíndice "j"</w:t>
      </w:r>
      <w:r w:rsidRPr="003C5E43">
        <w:rPr>
          <w:rFonts w:ascii="Helvetica" w:hAnsi="Helvetica" w:cs="Helvetica"/>
          <w:sz w:val="20"/>
          <w:szCs w:val="20"/>
        </w:rPr>
        <w:t xml:space="preserve"> representa a las demás proposiciones determinadas como solventes como resultado de la evaluación</w:t>
      </w:r>
    </w:p>
    <w:p w14:paraId="095121E9" w14:textId="77777777" w:rsidR="008A547E" w:rsidRPr="003C5E43" w:rsidRDefault="008A547E" w:rsidP="00D92E5C">
      <w:pPr>
        <w:jc w:val="both"/>
        <w:rPr>
          <w:rFonts w:ascii="Helvetica" w:hAnsi="Helvetica" w:cs="Helvetica"/>
          <w:sz w:val="20"/>
          <w:szCs w:val="20"/>
        </w:rPr>
      </w:pPr>
    </w:p>
    <w:p w14:paraId="088E9727" w14:textId="77777777" w:rsidR="008A547E" w:rsidRPr="003C5E43" w:rsidRDefault="008A547E" w:rsidP="00D92E5C">
      <w:pPr>
        <w:jc w:val="both"/>
        <w:rPr>
          <w:rFonts w:ascii="Helvetica" w:hAnsi="Helvetica" w:cs="Helvetica"/>
          <w:b/>
          <w:sz w:val="20"/>
          <w:szCs w:val="20"/>
        </w:rPr>
      </w:pPr>
      <w:r w:rsidRPr="003C5E43">
        <w:rPr>
          <w:rFonts w:ascii="Helvetica" w:hAnsi="Helvetica" w:cs="Helvetica"/>
          <w:b/>
          <w:sz w:val="20"/>
          <w:szCs w:val="20"/>
        </w:rPr>
        <w:t>RESULTADO DE LAS EVALUACIONES</w:t>
      </w:r>
    </w:p>
    <w:p w14:paraId="09E6E076" w14:textId="6C530472" w:rsidR="008A547E" w:rsidRPr="003C5E43" w:rsidRDefault="008A547E" w:rsidP="00D92E5C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 xml:space="preserve">Para calcular el resultado final de la puntuación </w:t>
      </w:r>
      <w:r w:rsidR="00D06419" w:rsidRPr="003C5E43">
        <w:rPr>
          <w:rFonts w:ascii="Helvetica" w:hAnsi="Helvetica" w:cs="Helvetica"/>
          <w:sz w:val="20"/>
          <w:szCs w:val="20"/>
        </w:rPr>
        <w:t xml:space="preserve">del </w:t>
      </w:r>
      <w:r w:rsidR="00E11854" w:rsidRPr="003C5E43">
        <w:rPr>
          <w:rFonts w:ascii="Helvetica" w:hAnsi="Helvetica" w:cs="Helvetica"/>
          <w:b/>
          <w:bCs/>
          <w:sz w:val="20"/>
          <w:szCs w:val="20"/>
        </w:rPr>
        <w:t>CONCEPTO ÚNICO</w:t>
      </w:r>
      <w:r w:rsidR="00E11854" w:rsidRPr="003C5E43">
        <w:rPr>
          <w:rFonts w:ascii="Helvetica" w:hAnsi="Helvetica" w:cs="Helvetica"/>
          <w:sz w:val="20"/>
          <w:szCs w:val="20"/>
        </w:rPr>
        <w:t xml:space="preserve"> </w:t>
      </w:r>
      <w:r w:rsidRPr="003C5E43">
        <w:rPr>
          <w:rFonts w:ascii="Helvetica" w:hAnsi="Helvetica" w:cs="Helvetica"/>
          <w:sz w:val="20"/>
          <w:szCs w:val="20"/>
        </w:rPr>
        <w:t>que obtuvo cada proposición, la convocante aplicará la siguiente fórmula:                                </w:t>
      </w:r>
    </w:p>
    <w:p w14:paraId="793DD572" w14:textId="2F91C701" w:rsidR="008A547E" w:rsidRPr="003C5E43" w:rsidRDefault="008A547E" w:rsidP="00D92E5C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>PTj = TPT + TPE                        Para toda j = 1, 2,</w:t>
      </w:r>
      <w:r w:rsidR="00A5770A" w:rsidRPr="003C5E43">
        <w:rPr>
          <w:rFonts w:ascii="Helvetica" w:hAnsi="Helvetica" w:cs="Helvetica"/>
          <w:sz w:val="20"/>
          <w:szCs w:val="20"/>
        </w:rPr>
        <w:t xml:space="preserve"> …</w:t>
      </w:r>
      <w:r w:rsidRPr="003C5E43">
        <w:rPr>
          <w:rFonts w:ascii="Helvetica" w:hAnsi="Helvetica" w:cs="Helvetica"/>
          <w:sz w:val="20"/>
          <w:szCs w:val="20"/>
        </w:rPr>
        <w:t>,</w:t>
      </w:r>
      <w:r w:rsidR="00A5770A" w:rsidRPr="003C5E43">
        <w:rPr>
          <w:rFonts w:ascii="Helvetica" w:hAnsi="Helvetica" w:cs="Helvetica"/>
          <w:sz w:val="20"/>
          <w:szCs w:val="20"/>
        </w:rPr>
        <w:t xml:space="preserve"> </w:t>
      </w:r>
      <w:r w:rsidRPr="003C5E43">
        <w:rPr>
          <w:rFonts w:ascii="Helvetica" w:hAnsi="Helvetica" w:cs="Helvetica"/>
          <w:sz w:val="20"/>
          <w:szCs w:val="20"/>
        </w:rPr>
        <w:t>n</w:t>
      </w:r>
    </w:p>
    <w:p w14:paraId="54327AA9" w14:textId="77777777" w:rsidR="008A547E" w:rsidRPr="003C5E43" w:rsidRDefault="008A547E" w:rsidP="00D92E5C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>        </w:t>
      </w:r>
    </w:p>
    <w:p w14:paraId="2F98962A" w14:textId="77777777" w:rsidR="008A547E" w:rsidRPr="003C5E43" w:rsidRDefault="008A547E" w:rsidP="00D92E5C">
      <w:pPr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> Donde:</w:t>
      </w:r>
    </w:p>
    <w:p w14:paraId="0BC58AE6" w14:textId="77777777" w:rsidR="008A547E" w:rsidRPr="003C5E43" w:rsidRDefault="008A547E" w:rsidP="00D92E5C">
      <w:pPr>
        <w:ind w:firstLine="708"/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b/>
          <w:sz w:val="20"/>
          <w:szCs w:val="20"/>
        </w:rPr>
        <w:t>PTj =</w:t>
      </w:r>
      <w:r w:rsidRPr="003C5E43">
        <w:rPr>
          <w:rFonts w:ascii="Helvetica" w:hAnsi="Helvetica" w:cs="Helvetica"/>
          <w:sz w:val="20"/>
          <w:szCs w:val="20"/>
        </w:rPr>
        <w:t xml:space="preserve"> Puntuación o unidades porcentuales Totales de la proposición;</w:t>
      </w:r>
    </w:p>
    <w:p w14:paraId="346E5187" w14:textId="77777777" w:rsidR="008A547E" w:rsidRPr="003C5E43" w:rsidRDefault="008A547E" w:rsidP="00D92E5C">
      <w:pPr>
        <w:ind w:firstLine="708"/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b/>
          <w:sz w:val="20"/>
          <w:szCs w:val="20"/>
        </w:rPr>
        <w:t>TPT =</w:t>
      </w:r>
      <w:r w:rsidRPr="003C5E43">
        <w:rPr>
          <w:rFonts w:ascii="Helvetica" w:hAnsi="Helvetica" w:cs="Helvetica"/>
          <w:sz w:val="20"/>
          <w:szCs w:val="20"/>
        </w:rPr>
        <w:t xml:space="preserve"> Total de Puntuación o unidades porcentuales asignados a la propuesta Técnica;</w:t>
      </w:r>
    </w:p>
    <w:p w14:paraId="073A75D3" w14:textId="77777777" w:rsidR="008A547E" w:rsidRPr="003C5E43" w:rsidRDefault="008A547E" w:rsidP="00D92E5C">
      <w:pPr>
        <w:ind w:left="708"/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b/>
          <w:sz w:val="20"/>
          <w:szCs w:val="20"/>
        </w:rPr>
        <w:t>TPE =</w:t>
      </w:r>
      <w:r w:rsidRPr="003C5E43">
        <w:rPr>
          <w:rFonts w:ascii="Helvetica" w:hAnsi="Helvetica" w:cs="Helvetica"/>
          <w:sz w:val="20"/>
          <w:szCs w:val="20"/>
        </w:rPr>
        <w:t xml:space="preserve"> Total de Puntuación o unidades porcentuales asignados a la propuesta Económica, y</w:t>
      </w:r>
    </w:p>
    <w:p w14:paraId="68C6C198" w14:textId="77777777" w:rsidR="008A547E" w:rsidRPr="003C5E43" w:rsidRDefault="008A547E" w:rsidP="00D92E5C">
      <w:pPr>
        <w:ind w:left="708"/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b/>
          <w:sz w:val="20"/>
          <w:szCs w:val="20"/>
        </w:rPr>
        <w:t>El subíndice "j"</w:t>
      </w:r>
      <w:r w:rsidRPr="003C5E43">
        <w:rPr>
          <w:rFonts w:ascii="Helvetica" w:hAnsi="Helvetica" w:cs="Helvetica"/>
          <w:sz w:val="20"/>
          <w:szCs w:val="20"/>
        </w:rPr>
        <w:t xml:space="preserve"> representa a las demás proposiciones determinadas como solventes como resultado de la evaluación.</w:t>
      </w:r>
    </w:p>
    <w:p w14:paraId="161112BE" w14:textId="77777777" w:rsidR="008A547E" w:rsidRPr="003C5E43" w:rsidRDefault="008A547E" w:rsidP="00D92E5C">
      <w:pPr>
        <w:pStyle w:val="Default"/>
        <w:jc w:val="both"/>
        <w:rPr>
          <w:rFonts w:ascii="Helvetica" w:hAnsi="Helvetica" w:cs="Helvetica"/>
          <w:sz w:val="20"/>
          <w:szCs w:val="20"/>
        </w:rPr>
      </w:pPr>
    </w:p>
    <w:p w14:paraId="1757489F" w14:textId="3C0EC08A" w:rsidR="003A182C" w:rsidRPr="003C5E43" w:rsidRDefault="00250849" w:rsidP="00D92E5C">
      <w:pPr>
        <w:pStyle w:val="Default"/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 xml:space="preserve">Una vez hecha la evaluación de las proposiciones, </w:t>
      </w:r>
      <w:r w:rsidR="003A182C" w:rsidRPr="003C5E43">
        <w:rPr>
          <w:rFonts w:ascii="Helvetica" w:hAnsi="Helvetica" w:cs="Helvetica"/>
          <w:sz w:val="20"/>
          <w:szCs w:val="20"/>
        </w:rPr>
        <w:t xml:space="preserve">a </w:t>
      </w:r>
      <w:r w:rsidR="00BE12C8" w:rsidRPr="003C5E43">
        <w:rPr>
          <w:rFonts w:ascii="Helvetica" w:hAnsi="Helvetica" w:cs="Helvetica"/>
          <w:sz w:val="20"/>
          <w:szCs w:val="20"/>
        </w:rPr>
        <w:t xml:space="preserve">la propuesta </w:t>
      </w:r>
      <w:r w:rsidR="003A182C" w:rsidRPr="003C5E43">
        <w:rPr>
          <w:rFonts w:ascii="Helvetica" w:hAnsi="Helvetica" w:cs="Helvetica"/>
          <w:sz w:val="20"/>
          <w:szCs w:val="20"/>
        </w:rPr>
        <w:t>que haya obtenido el mejor resultado en la evaluación combinada de puntos técnicos y económic</w:t>
      </w:r>
      <w:r w:rsidR="008A547E" w:rsidRPr="003C5E43">
        <w:rPr>
          <w:rFonts w:ascii="Helvetica" w:hAnsi="Helvetica" w:cs="Helvetica"/>
          <w:sz w:val="20"/>
          <w:szCs w:val="20"/>
        </w:rPr>
        <w:t>o</w:t>
      </w:r>
      <w:r w:rsidR="003A182C" w:rsidRPr="003C5E43">
        <w:rPr>
          <w:rFonts w:ascii="Helvetica" w:hAnsi="Helvetica" w:cs="Helvetica"/>
          <w:sz w:val="20"/>
          <w:szCs w:val="20"/>
        </w:rPr>
        <w:t>s</w:t>
      </w:r>
      <w:r w:rsidR="00854364" w:rsidRPr="003C5E43">
        <w:rPr>
          <w:rFonts w:ascii="Helvetica" w:hAnsi="Helvetica" w:cs="Helvetica"/>
          <w:sz w:val="20"/>
          <w:szCs w:val="20"/>
        </w:rPr>
        <w:t>,</w:t>
      </w:r>
      <w:r w:rsidR="003A182C" w:rsidRPr="003C5E43">
        <w:rPr>
          <w:rFonts w:ascii="Helvetica" w:hAnsi="Helvetica" w:cs="Helvetica"/>
          <w:sz w:val="20"/>
          <w:szCs w:val="20"/>
        </w:rPr>
        <w:t xml:space="preserve"> se decretará como la propuesta ganadora </w:t>
      </w:r>
      <w:r w:rsidR="00355710" w:rsidRPr="003C5E43">
        <w:rPr>
          <w:rFonts w:ascii="Helvetica" w:hAnsi="Helvetica" w:cs="Helvetica"/>
          <w:sz w:val="20"/>
          <w:szCs w:val="20"/>
        </w:rPr>
        <w:t>p</w:t>
      </w:r>
      <w:r w:rsidR="003A182C" w:rsidRPr="003C5E43">
        <w:rPr>
          <w:rFonts w:ascii="Helvetica" w:hAnsi="Helvetica" w:cs="Helvetica"/>
          <w:sz w:val="20"/>
          <w:szCs w:val="20"/>
        </w:rPr>
        <w:t xml:space="preserve">or haber </w:t>
      </w:r>
      <w:r w:rsidRPr="003C5E43">
        <w:rPr>
          <w:rFonts w:ascii="Helvetica" w:hAnsi="Helvetica" w:cs="Helvetica"/>
          <w:sz w:val="20"/>
          <w:szCs w:val="20"/>
        </w:rPr>
        <w:t>result</w:t>
      </w:r>
      <w:r w:rsidR="003A182C" w:rsidRPr="003C5E43">
        <w:rPr>
          <w:rFonts w:ascii="Helvetica" w:hAnsi="Helvetica" w:cs="Helvetica"/>
          <w:sz w:val="20"/>
          <w:szCs w:val="20"/>
        </w:rPr>
        <w:t>ado</w:t>
      </w:r>
      <w:r w:rsidRPr="003C5E43">
        <w:rPr>
          <w:rFonts w:ascii="Helvetica" w:hAnsi="Helvetica" w:cs="Helvetica"/>
          <w:sz w:val="20"/>
          <w:szCs w:val="20"/>
        </w:rPr>
        <w:t xml:space="preserve"> solvente, </w:t>
      </w:r>
      <w:r w:rsidR="003A182C" w:rsidRPr="003C5E43">
        <w:rPr>
          <w:rFonts w:ascii="Helvetica" w:hAnsi="Helvetica" w:cs="Helvetica"/>
          <w:sz w:val="20"/>
          <w:szCs w:val="20"/>
        </w:rPr>
        <w:t xml:space="preserve">y </w:t>
      </w:r>
      <w:r w:rsidRPr="003C5E43">
        <w:rPr>
          <w:rFonts w:ascii="Helvetica" w:hAnsi="Helvetica" w:cs="Helvetica"/>
          <w:sz w:val="20"/>
          <w:szCs w:val="20"/>
        </w:rPr>
        <w:t>porque cumple con los requisitos legales, técnicos y económicos establecidos en la convocatoria a la licitación, y por tanto garantiza el cumplimiento de las obligaciones respectivas</w:t>
      </w:r>
      <w:r w:rsidR="003A182C" w:rsidRPr="003C5E43">
        <w:rPr>
          <w:rFonts w:ascii="Helvetica" w:hAnsi="Helvetica" w:cs="Helvetica"/>
          <w:sz w:val="20"/>
          <w:szCs w:val="20"/>
        </w:rPr>
        <w:t>.</w:t>
      </w:r>
    </w:p>
    <w:p w14:paraId="7672A00D" w14:textId="26731553" w:rsidR="00854364" w:rsidRPr="003C5E43" w:rsidRDefault="00854364" w:rsidP="00D92E5C">
      <w:pPr>
        <w:pStyle w:val="Default"/>
        <w:jc w:val="both"/>
        <w:rPr>
          <w:rFonts w:ascii="Helvetica" w:hAnsi="Helvetica" w:cs="Helvetica"/>
          <w:sz w:val="20"/>
          <w:szCs w:val="20"/>
        </w:rPr>
      </w:pPr>
    </w:p>
    <w:p w14:paraId="2805DBB5" w14:textId="65EAEDB5" w:rsidR="00854364" w:rsidRPr="003C5E43" w:rsidRDefault="006A1549" w:rsidP="00D92E5C">
      <w:pPr>
        <w:pStyle w:val="Default"/>
        <w:jc w:val="both"/>
        <w:rPr>
          <w:rFonts w:ascii="Helvetica" w:hAnsi="Helvetica" w:cs="Helvetica"/>
          <w:sz w:val="20"/>
          <w:szCs w:val="20"/>
        </w:rPr>
      </w:pPr>
      <w:r w:rsidRPr="003C5E43">
        <w:rPr>
          <w:rFonts w:ascii="Helvetica" w:hAnsi="Helvetica" w:cs="Helvetica"/>
          <w:sz w:val="20"/>
          <w:szCs w:val="20"/>
        </w:rPr>
        <w:t xml:space="preserve">En caso de empate entre dos o más proposiciones, se procederá conforme por lo dispuesto en el artículo </w:t>
      </w:r>
      <w:r w:rsidR="00355710" w:rsidRPr="003C5E43">
        <w:rPr>
          <w:rFonts w:ascii="Helvetica" w:hAnsi="Helvetica" w:cs="Helvetica"/>
          <w:sz w:val="20"/>
          <w:szCs w:val="20"/>
        </w:rPr>
        <w:t xml:space="preserve">49 segundo y tercer párrafo de </w:t>
      </w:r>
      <w:r w:rsidRPr="003C5E43">
        <w:rPr>
          <w:rFonts w:ascii="Helvetica" w:hAnsi="Helvetica" w:cs="Helvetica"/>
          <w:sz w:val="20"/>
          <w:szCs w:val="20"/>
        </w:rPr>
        <w:t>la Ley de Adquisiciones, Arrendamientos y Servicios del Sector Público</w:t>
      </w:r>
      <w:r w:rsidR="00355710" w:rsidRPr="003C5E43">
        <w:rPr>
          <w:rFonts w:ascii="Helvetica" w:hAnsi="Helvetica" w:cs="Helvetica"/>
          <w:sz w:val="20"/>
          <w:szCs w:val="20"/>
        </w:rPr>
        <w:t xml:space="preserve"> del Estado de Hidalgo</w:t>
      </w:r>
      <w:r w:rsidRPr="003C5E43">
        <w:rPr>
          <w:rFonts w:ascii="Helvetica" w:hAnsi="Helvetica" w:cs="Helvetica"/>
          <w:sz w:val="20"/>
          <w:szCs w:val="20"/>
        </w:rPr>
        <w:t xml:space="preserve">. </w:t>
      </w:r>
    </w:p>
    <w:sectPr w:rsidR="00854364" w:rsidRPr="003C5E4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9457" w14:textId="77777777" w:rsidR="00386C64" w:rsidRDefault="00386C64" w:rsidP="008B6F03">
      <w:pPr>
        <w:spacing w:after="0" w:line="240" w:lineRule="auto"/>
      </w:pPr>
      <w:r>
        <w:separator/>
      </w:r>
    </w:p>
  </w:endnote>
  <w:endnote w:type="continuationSeparator" w:id="0">
    <w:p w14:paraId="1C67C91C" w14:textId="77777777" w:rsidR="00386C64" w:rsidRDefault="00386C64" w:rsidP="008B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5F55" w14:textId="77777777" w:rsidR="00386C64" w:rsidRDefault="00386C64" w:rsidP="008B6F03">
      <w:pPr>
        <w:spacing w:after="0" w:line="240" w:lineRule="auto"/>
      </w:pPr>
      <w:r>
        <w:separator/>
      </w:r>
    </w:p>
  </w:footnote>
  <w:footnote w:type="continuationSeparator" w:id="0">
    <w:p w14:paraId="4EC5902A" w14:textId="77777777" w:rsidR="00386C64" w:rsidRDefault="00386C64" w:rsidP="008B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3D5B" w14:textId="3C5C111C" w:rsidR="000E7166" w:rsidRDefault="000E7166" w:rsidP="000E7166">
    <w:pPr>
      <w:pStyle w:val="Encabezado"/>
      <w:jc w:val="center"/>
      <w:rPr>
        <w:rFonts w:ascii="Helvetica" w:hAnsi="Helvetica" w:cs="Helvetica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7E42C" wp14:editId="15E63A6C">
              <wp:simplePos x="0" y="0"/>
              <wp:positionH relativeFrom="column">
                <wp:posOffset>-480060</wp:posOffset>
              </wp:positionH>
              <wp:positionV relativeFrom="paragraph">
                <wp:posOffset>255270</wp:posOffset>
              </wp:positionV>
              <wp:extent cx="6429375" cy="0"/>
              <wp:effectExtent l="0" t="0" r="0" b="0"/>
              <wp:wrapNone/>
              <wp:docPr id="36122088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54D2AB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pt,20.1pt" to="468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  <w:bookmarkStart w:id="2" w:name="_Hlk56311241"/>
    <w:bookmarkStart w:id="3" w:name="_Hlk56311242"/>
    <w:bookmarkStart w:id="4" w:name="_Hlk56311364"/>
    <w:bookmarkStart w:id="5" w:name="_Hlk56311365"/>
    <w:bookmarkStart w:id="6" w:name="_Hlk132305159"/>
    <w:r>
      <w:rPr>
        <w:rFonts w:ascii="Helvetica" w:hAnsi="Helvetica" w:cs="Helvetica"/>
      </w:rPr>
      <w:t>Universidad Autónoma del Estado de Hidalgo</w:t>
    </w:r>
  </w:p>
  <w:p w14:paraId="4A03AFF0" w14:textId="77777777" w:rsidR="000E7166" w:rsidRDefault="000E7166" w:rsidP="000E7166">
    <w:pPr>
      <w:pStyle w:val="Encabezado"/>
      <w:jc w:val="center"/>
      <w:rPr>
        <w:rFonts w:ascii="Helvetica-Normal" w:hAnsi="Helvetica-Normal" w:cs="Arial"/>
      </w:rPr>
    </w:pPr>
  </w:p>
  <w:bookmarkEnd w:id="2"/>
  <w:bookmarkEnd w:id="3"/>
  <w:bookmarkEnd w:id="4"/>
  <w:bookmarkEnd w:id="5"/>
  <w:bookmarkEnd w:id="6"/>
  <w:p w14:paraId="78D5F61A" w14:textId="2223D825" w:rsidR="00207B52" w:rsidRPr="00D06419" w:rsidRDefault="00207B52" w:rsidP="00D06419">
    <w:pPr>
      <w:pStyle w:val="Encabezado"/>
      <w:tabs>
        <w:tab w:val="left" w:pos="5947"/>
      </w:tabs>
      <w:jc w:val="center"/>
      <w:rPr>
        <w:rFonts w:ascii="Helvetica" w:hAnsi="Helvetica" w:cs="Helvetica"/>
        <w:bCs/>
        <w:color w:val="000000" w:themeColor="text1"/>
        <w:szCs w:val="10"/>
      </w:rPr>
    </w:pPr>
    <w:r w:rsidRPr="00721300">
      <w:rPr>
        <w:rFonts w:ascii="Helvetica" w:hAnsi="Helvetica" w:cs="Helvetica"/>
        <w:bCs/>
        <w:color w:val="000000" w:themeColor="text1"/>
        <w:szCs w:val="10"/>
      </w:rPr>
      <w:t xml:space="preserve">Adquisición de Equipamiento Tecnológico para el Edificio de </w:t>
    </w:r>
    <w:r w:rsidR="00D06419">
      <w:rPr>
        <w:rFonts w:ascii="Helvetica" w:hAnsi="Helvetica" w:cs="Helvetica"/>
        <w:bCs/>
        <w:color w:val="000000" w:themeColor="text1"/>
        <w:szCs w:val="10"/>
      </w:rPr>
      <w:t xml:space="preserve">Prevención y </w:t>
    </w:r>
    <w:r w:rsidRPr="00721300">
      <w:rPr>
        <w:rFonts w:ascii="Helvetica" w:hAnsi="Helvetica" w:cs="Helvetica"/>
        <w:bCs/>
        <w:color w:val="000000" w:themeColor="text1"/>
        <w:szCs w:val="10"/>
      </w:rPr>
      <w:t>Protección Universitaria</w:t>
    </w:r>
    <w:r w:rsidR="00D06419">
      <w:rPr>
        <w:rFonts w:ascii="Helvetica" w:hAnsi="Helvetica" w:cs="Helvetica"/>
        <w:bCs/>
        <w:color w:val="000000" w:themeColor="text1"/>
        <w:szCs w:val="10"/>
      </w:rPr>
      <w:t>.</w:t>
    </w:r>
  </w:p>
  <w:p w14:paraId="331BFA9A" w14:textId="5F9CE432" w:rsidR="008B6F03" w:rsidRPr="000E7166" w:rsidRDefault="008B6F03" w:rsidP="00207B52">
    <w:pPr>
      <w:jc w:val="center"/>
      <w:rPr>
        <w:rFonts w:ascii="Helvetica" w:hAnsi="Helvetica" w:cs="Helvetica"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7A9410D"/>
    <w:multiLevelType w:val="hybridMultilevel"/>
    <w:tmpl w:val="683660BA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B465A"/>
    <w:multiLevelType w:val="hybridMultilevel"/>
    <w:tmpl w:val="AB3CAF32"/>
    <w:lvl w:ilvl="0" w:tplc="80B05A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49"/>
    <w:rsid w:val="00083256"/>
    <w:rsid w:val="000E7166"/>
    <w:rsid w:val="000F0A6E"/>
    <w:rsid w:val="00105A1A"/>
    <w:rsid w:val="001E27AA"/>
    <w:rsid w:val="00207B52"/>
    <w:rsid w:val="00234F0C"/>
    <w:rsid w:val="00250849"/>
    <w:rsid w:val="002574AA"/>
    <w:rsid w:val="002A5CA5"/>
    <w:rsid w:val="002B1EC5"/>
    <w:rsid w:val="002C3AB3"/>
    <w:rsid w:val="002E11C0"/>
    <w:rsid w:val="00325326"/>
    <w:rsid w:val="0033171E"/>
    <w:rsid w:val="00355710"/>
    <w:rsid w:val="00386C64"/>
    <w:rsid w:val="003A182C"/>
    <w:rsid w:val="003B4AB7"/>
    <w:rsid w:val="003C5E43"/>
    <w:rsid w:val="0042441E"/>
    <w:rsid w:val="0044101E"/>
    <w:rsid w:val="00475AE0"/>
    <w:rsid w:val="004D6C48"/>
    <w:rsid w:val="004E5C3B"/>
    <w:rsid w:val="00507C6D"/>
    <w:rsid w:val="00512B71"/>
    <w:rsid w:val="00541825"/>
    <w:rsid w:val="00552CAC"/>
    <w:rsid w:val="005A209A"/>
    <w:rsid w:val="005F42E5"/>
    <w:rsid w:val="006334AB"/>
    <w:rsid w:val="00660257"/>
    <w:rsid w:val="006831E8"/>
    <w:rsid w:val="006A1549"/>
    <w:rsid w:val="006B3408"/>
    <w:rsid w:val="0071291A"/>
    <w:rsid w:val="007C722F"/>
    <w:rsid w:val="008152B3"/>
    <w:rsid w:val="00830C9A"/>
    <w:rsid w:val="00854364"/>
    <w:rsid w:val="0087560C"/>
    <w:rsid w:val="008A547E"/>
    <w:rsid w:val="008B6F03"/>
    <w:rsid w:val="00917AA0"/>
    <w:rsid w:val="009923E1"/>
    <w:rsid w:val="009A668E"/>
    <w:rsid w:val="009C5907"/>
    <w:rsid w:val="00A40513"/>
    <w:rsid w:val="00A5770A"/>
    <w:rsid w:val="00AC5988"/>
    <w:rsid w:val="00B30058"/>
    <w:rsid w:val="00BE12C8"/>
    <w:rsid w:val="00CB717A"/>
    <w:rsid w:val="00D06419"/>
    <w:rsid w:val="00D92E5C"/>
    <w:rsid w:val="00DC3569"/>
    <w:rsid w:val="00E11854"/>
    <w:rsid w:val="00E45953"/>
    <w:rsid w:val="00E7524E"/>
    <w:rsid w:val="00E8628B"/>
    <w:rsid w:val="00F16D05"/>
    <w:rsid w:val="00F444DD"/>
    <w:rsid w:val="00F53C37"/>
    <w:rsid w:val="00F629B8"/>
    <w:rsid w:val="00F827CD"/>
    <w:rsid w:val="00F8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61EEF0"/>
  <w15:chartTrackingRefBased/>
  <w15:docId w15:val="{70563765-8126-4482-A7EE-AAF023BF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0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92E5C"/>
    <w:pPr>
      <w:widowControl w:val="0"/>
      <w:autoSpaceDE w:val="0"/>
      <w:autoSpaceDN w:val="0"/>
      <w:spacing w:after="0" w:line="240" w:lineRule="auto"/>
      <w:ind w:left="420"/>
    </w:pPr>
    <w:rPr>
      <w:rFonts w:ascii="Arial" w:eastAsia="Arial" w:hAnsi="Arial" w:cs="Arial"/>
      <w:sz w:val="20"/>
      <w:szCs w:val="20"/>
      <w:lang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92E5C"/>
    <w:rPr>
      <w:rFonts w:ascii="Arial" w:eastAsia="Arial" w:hAnsi="Arial" w:cs="Arial"/>
      <w:sz w:val="20"/>
      <w:szCs w:val="20"/>
      <w:lang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E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B6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F03"/>
  </w:style>
  <w:style w:type="paragraph" w:styleId="Piedepgina">
    <w:name w:val="footer"/>
    <w:basedOn w:val="Normal"/>
    <w:link w:val="PiedepginaCar"/>
    <w:uiPriority w:val="99"/>
    <w:unhideWhenUsed/>
    <w:rsid w:val="008B6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UAEH</dc:creator>
  <cp:keywords/>
  <dc:description/>
  <cp:lastModifiedBy>Lizbeth Guadalupe Pontaza Marquez</cp:lastModifiedBy>
  <cp:revision>3</cp:revision>
  <dcterms:created xsi:type="dcterms:W3CDTF">2024-10-18T01:01:00Z</dcterms:created>
  <dcterms:modified xsi:type="dcterms:W3CDTF">2024-10-25T17:33:00Z</dcterms:modified>
</cp:coreProperties>
</file>